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F9" w:rsidRDefault="000435F9">
      <w:r>
        <w:rPr>
          <w:noProof/>
        </w:rPr>
        <mc:AlternateContent>
          <mc:Choice Requires="wps">
            <w:drawing>
              <wp:anchor distT="0" distB="0" distL="114300" distR="114300" simplePos="0" relativeHeight="251659264" behindDoc="0" locked="0" layoutInCell="1" allowOverlap="1" wp14:anchorId="392DAD65" wp14:editId="2861C1C0">
                <wp:simplePos x="0" y="0"/>
                <wp:positionH relativeFrom="column">
                  <wp:posOffset>53975</wp:posOffset>
                </wp:positionH>
                <wp:positionV relativeFrom="paragraph">
                  <wp:posOffset>67945</wp:posOffset>
                </wp:positionV>
                <wp:extent cx="1828800" cy="1828800"/>
                <wp:effectExtent l="0" t="0" r="635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wps:spPr>
                      <wps:txbx>
                        <w:txbxContent>
                          <w:p w:rsidR="000435F9" w:rsidRPr="006F3041" w:rsidRDefault="000435F9" w:rsidP="000435F9">
                            <w:pPr>
                              <w:jc w:val="center"/>
                              <w:rPr>
                                <w:rFonts w:eastAsia="ＤＦ平成ゴシック体W5"/>
                                <w:b/>
                                <w:color w:val="000000" w:themeColor="text1"/>
                                <w:sz w:val="32"/>
                                <w:szCs w:val="72"/>
                                <w14:textOutline w14:w="10541" w14:cap="flat" w14:cmpd="sng" w14:algn="ctr">
                                  <w14:solidFill>
                                    <w14:schemeClr w14:val="accent1">
                                      <w14:shade w14:val="88000"/>
                                      <w14:satMod w14:val="110000"/>
                                    </w14:schemeClr>
                                  </w14:solidFill>
                                  <w14:prstDash w14:val="solid"/>
                                  <w14:round/>
                                </w14:textOutline>
                              </w:rPr>
                            </w:pPr>
                            <w:r>
                              <w:rPr>
                                <w:rFonts w:eastAsia="ＤＦ平成ゴシック体W5" w:hint="eastAsia"/>
                                <w:b/>
                                <w:color w:val="000000" w:themeColor="text1"/>
                                <w:sz w:val="32"/>
                                <w:szCs w:val="72"/>
                                <w14:textOutline w14:w="10541" w14:cap="flat" w14:cmpd="sng" w14:algn="ctr">
                                  <w14:solidFill>
                                    <w14:schemeClr w14:val="accent1">
                                      <w14:shade w14:val="88000"/>
                                      <w14:satMod w14:val="110000"/>
                                    </w14:schemeClr>
                                  </w14:solidFill>
                                  <w14:prstDash w14:val="solid"/>
                                  <w14:round/>
                                </w14:textOutline>
                              </w:rPr>
                              <w:t>介護予防・日常生活支援総合事業について</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5pt;margin-top:5.3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" fillcolor="#8aabd3 [2132]" stroked="f">
                <v:fill color2="#d6e2f0 [756]" colors="0 #9ab5e4;.5 #c2d1ed;1 #e1e8f5" focus="100%" type="gradient">
                  <o:fill v:ext="view" type="gradientUnscaled"/>
                </v:fill>
                <v:textbox style="mso-fit-shape-to-text:t" inset="5.85pt,.7pt,5.85pt,.7pt">
                  <w:txbxContent>
                    <w:p w:rsidR="000435F9" w:rsidRPr="006F3041" w:rsidRDefault="000435F9" w:rsidP="000435F9">
                      <w:pPr>
                        <w:jc w:val="center"/>
                        <w:rPr>
                          <w:rFonts w:eastAsia="ＤＦ平成ゴシック体W5"/>
                          <w:b/>
                          <w:color w:val="000000" w:themeColor="text1"/>
                          <w:sz w:val="32"/>
                          <w:szCs w:val="72"/>
                          <w14:textOutline w14:w="10541" w14:cap="flat" w14:cmpd="sng" w14:algn="ctr">
                            <w14:solidFill>
                              <w14:schemeClr w14:val="accent1">
                                <w14:shade w14:val="88000"/>
                                <w14:satMod w14:val="110000"/>
                              </w14:schemeClr>
                            </w14:solidFill>
                            <w14:prstDash w14:val="solid"/>
                            <w14:round/>
                          </w14:textOutline>
                        </w:rPr>
                      </w:pPr>
                      <w:r>
                        <w:rPr>
                          <w:rFonts w:eastAsia="ＤＦ平成ゴシック体W5" w:hint="eastAsia"/>
                          <w:b/>
                          <w:color w:val="000000" w:themeColor="text1"/>
                          <w:sz w:val="32"/>
                          <w:szCs w:val="72"/>
                          <w14:textOutline w14:w="10541" w14:cap="flat" w14:cmpd="sng" w14:algn="ctr">
                            <w14:solidFill>
                              <w14:schemeClr w14:val="accent1">
                                <w14:shade w14:val="88000"/>
                                <w14:satMod w14:val="110000"/>
                              </w14:schemeClr>
                            </w14:solidFill>
                            <w14:prstDash w14:val="solid"/>
                            <w14:round/>
                          </w14:textOutline>
                        </w:rPr>
                        <w:t>介護予防・日常生活支援総合事業について</w:t>
                      </w:r>
                    </w:p>
                  </w:txbxContent>
                </v:textbox>
              </v:shape>
            </w:pict>
          </mc:Fallback>
        </mc:AlternateContent>
      </w:r>
    </w:p>
    <w:p w:rsidR="000435F9" w:rsidRDefault="000435F9"/>
    <w:p w:rsidR="000435F9" w:rsidRDefault="000435F9"/>
    <w:p w:rsidR="000435F9" w:rsidRDefault="00280AA4">
      <w:r>
        <w:rPr>
          <w:rFonts w:hint="eastAsia"/>
        </w:rPr>
        <w:t xml:space="preserve">　　介護予防・日常生活支援総合事業（以下、総合事業）は</w:t>
      </w:r>
      <w:r>
        <w:rPr>
          <w:rFonts w:hint="eastAsia"/>
        </w:rPr>
        <w:t>65</w:t>
      </w:r>
      <w:r w:rsidR="001A60D1">
        <w:rPr>
          <w:rFonts w:hint="eastAsia"/>
        </w:rPr>
        <w:t>歳以上の町</w:t>
      </w:r>
      <w:r>
        <w:rPr>
          <w:rFonts w:hint="eastAsia"/>
        </w:rPr>
        <w:t>民を対象に、</w:t>
      </w:r>
    </w:p>
    <w:p w:rsidR="00280AA4" w:rsidRDefault="001A60D1">
      <w:r>
        <w:rPr>
          <w:rFonts w:hint="eastAsia"/>
        </w:rPr>
        <w:t xml:space="preserve">　その人の必要性</w:t>
      </w:r>
      <w:r w:rsidR="00280AA4">
        <w:rPr>
          <w:rFonts w:hint="eastAsia"/>
        </w:rPr>
        <w:t>に合わせた各種サービスを提供する町の事業です。</w:t>
      </w:r>
    </w:p>
    <w:p w:rsidR="00280AA4" w:rsidRDefault="00280AA4">
      <w:r>
        <w:rPr>
          <w:rFonts w:hint="eastAsia"/>
        </w:rPr>
        <w:t xml:space="preserve">　　総合事業には、</w:t>
      </w:r>
      <w:r>
        <w:rPr>
          <w:rFonts w:hint="eastAsia"/>
        </w:rPr>
        <w:t>65</w:t>
      </w:r>
      <w:r>
        <w:rPr>
          <w:rFonts w:hint="eastAsia"/>
        </w:rPr>
        <w:t>歳以上のすべての人が利用できる「一般介護予防事業」と介護保険で要支援に認定された人や基本チェックリストで対象と判定された人が利用できる「介護</w:t>
      </w:r>
    </w:p>
    <w:p w:rsidR="00280AA4" w:rsidRDefault="00280AA4">
      <w:r>
        <w:rPr>
          <w:rFonts w:hint="eastAsia"/>
        </w:rPr>
        <w:t>予防・日常生活支援サービス事業」があります。</w:t>
      </w:r>
    </w:p>
    <w:p w:rsidR="00280AA4" w:rsidRDefault="00280AA4"/>
    <w:p w:rsidR="000435F9" w:rsidRDefault="00280AA4">
      <w:r>
        <w:rPr>
          <w:rFonts w:hint="eastAsia"/>
        </w:rPr>
        <w:t xml:space="preserve">　平成</w:t>
      </w:r>
      <w:r>
        <w:rPr>
          <w:rFonts w:hint="eastAsia"/>
        </w:rPr>
        <w:t>29</w:t>
      </w:r>
      <w:r>
        <w:rPr>
          <w:rFonts w:hint="eastAsia"/>
        </w:rPr>
        <w:t>年</w:t>
      </w:r>
      <w:r>
        <w:rPr>
          <w:rFonts w:hint="eastAsia"/>
        </w:rPr>
        <w:t>4</w:t>
      </w:r>
      <w:r>
        <w:rPr>
          <w:rFonts w:hint="eastAsia"/>
        </w:rPr>
        <w:t>月から、介護保険で要支援</w:t>
      </w:r>
      <w:r>
        <w:rPr>
          <w:rFonts w:hint="eastAsia"/>
        </w:rPr>
        <w:t>1</w:t>
      </w:r>
      <w:r>
        <w:rPr>
          <w:rFonts w:hint="eastAsia"/>
        </w:rPr>
        <w:t>・</w:t>
      </w:r>
      <w:r>
        <w:rPr>
          <w:rFonts w:hint="eastAsia"/>
        </w:rPr>
        <w:t>2</w:t>
      </w:r>
      <w:r>
        <w:rPr>
          <w:rFonts w:hint="eastAsia"/>
        </w:rPr>
        <w:t>の人が利用している介護予防サービス（</w:t>
      </w:r>
    </w:p>
    <w:p w:rsidR="00280AA4" w:rsidRDefault="00280AA4">
      <w:r>
        <w:rPr>
          <w:rFonts w:hint="eastAsia"/>
        </w:rPr>
        <w:t>予防給付）</w:t>
      </w:r>
      <w:r w:rsidR="00BE064A">
        <w:rPr>
          <w:rFonts w:hint="eastAsia"/>
        </w:rPr>
        <w:t>のうち、訪問介護（ホームヘルパー訪問支援）および通所介護（デイサービス）が、総合事業の訪問型および通所型サービスに移行しました。</w:t>
      </w:r>
    </w:p>
    <w:p w:rsidR="00BE064A" w:rsidRDefault="00BE064A">
      <w:r>
        <w:rPr>
          <w:rFonts w:hint="eastAsia"/>
        </w:rPr>
        <w:t xml:space="preserve">　訪問介護および通所介護以外の要支援者に対する介護予防サービス（訪問看護、福祉用具貸与など）はこれまでと変わらず「予防給付」によるサービスを提供しています。</w:t>
      </w:r>
    </w:p>
    <w:p w:rsidR="00E53C78" w:rsidRDefault="00E53C78"/>
    <w:p w:rsidR="000435F9" w:rsidRDefault="00E53C78">
      <w:r>
        <w:rPr>
          <w:rFonts w:hint="eastAsia"/>
        </w:rPr>
        <w:t xml:space="preserve">　【対象者】介護保険認定が要支援</w:t>
      </w:r>
      <w:r>
        <w:rPr>
          <w:rFonts w:hint="eastAsia"/>
        </w:rPr>
        <w:t>1</w:t>
      </w:r>
      <w:r>
        <w:rPr>
          <w:rFonts w:hint="eastAsia"/>
        </w:rPr>
        <w:t>・</w:t>
      </w:r>
      <w:r>
        <w:rPr>
          <w:rFonts w:hint="eastAsia"/>
        </w:rPr>
        <w:t>2</w:t>
      </w:r>
      <w:r>
        <w:rPr>
          <w:rFonts w:hint="eastAsia"/>
        </w:rPr>
        <w:t>の人</w:t>
      </w:r>
    </w:p>
    <w:p w:rsidR="00E53C78" w:rsidRDefault="00E53C78">
      <w:r>
        <w:rPr>
          <w:rFonts w:hint="eastAsia"/>
        </w:rPr>
        <w:t xml:space="preserve">　　　　　　基本チェックリストで対象と判定された人</w:t>
      </w:r>
      <w:r w:rsidR="00F66573">
        <w:rPr>
          <w:rFonts w:hint="eastAsia"/>
        </w:rPr>
        <w:t>（事業対象者）</w:t>
      </w:r>
    </w:p>
    <w:p w:rsidR="00F66573" w:rsidRPr="00E53C78" w:rsidRDefault="00E53C78">
      <w:r>
        <w:rPr>
          <w:rFonts w:hint="eastAsia"/>
        </w:rPr>
        <w:t xml:space="preserve">　【サービス事業の内容】</w:t>
      </w:r>
      <w:bookmarkStart w:id="0" w:name="_GoBack"/>
      <w:bookmarkEnd w:id="0"/>
    </w:p>
    <w:tbl>
      <w:tblPr>
        <w:tblStyle w:val="a3"/>
        <w:tblW w:w="8505" w:type="dxa"/>
        <w:tblLook w:val="04A0" w:firstRow="1" w:lastRow="0" w:firstColumn="1" w:lastColumn="0" w:noHBand="0" w:noVBand="1"/>
      </w:tblPr>
      <w:tblGrid>
        <w:gridCol w:w="1701"/>
        <w:gridCol w:w="1951"/>
        <w:gridCol w:w="3578"/>
        <w:gridCol w:w="1275"/>
      </w:tblGrid>
      <w:tr w:rsidR="00F66573" w:rsidTr="001A60D1">
        <w:tc>
          <w:tcPr>
            <w:tcW w:w="3652" w:type="dxa"/>
            <w:gridSpan w:val="2"/>
          </w:tcPr>
          <w:p w:rsidR="00F66573" w:rsidRDefault="00C30661">
            <w:r>
              <w:rPr>
                <w:rFonts w:hint="eastAsia"/>
              </w:rPr>
              <w:t xml:space="preserve">　　　　　　</w:t>
            </w:r>
            <w:r w:rsidR="00F66573">
              <w:rPr>
                <w:rFonts w:hint="eastAsia"/>
              </w:rPr>
              <w:t>種　　類</w:t>
            </w:r>
          </w:p>
        </w:tc>
        <w:tc>
          <w:tcPr>
            <w:tcW w:w="3578" w:type="dxa"/>
          </w:tcPr>
          <w:p w:rsidR="00F66573" w:rsidRDefault="00F66573">
            <w:r>
              <w:rPr>
                <w:rFonts w:hint="eastAsia"/>
              </w:rPr>
              <w:t xml:space="preserve">　　　</w:t>
            </w:r>
            <w:r w:rsidR="00C30661">
              <w:rPr>
                <w:rFonts w:hint="eastAsia"/>
              </w:rPr>
              <w:t xml:space="preserve">　　　</w:t>
            </w:r>
            <w:r>
              <w:rPr>
                <w:rFonts w:hint="eastAsia"/>
              </w:rPr>
              <w:t>内　　容</w:t>
            </w:r>
          </w:p>
        </w:tc>
        <w:tc>
          <w:tcPr>
            <w:tcW w:w="1275" w:type="dxa"/>
          </w:tcPr>
          <w:p w:rsidR="00F66573" w:rsidRDefault="00F66573" w:rsidP="00F66573">
            <w:pPr>
              <w:ind w:firstLineChars="100" w:firstLine="210"/>
            </w:pPr>
            <w:r>
              <w:rPr>
                <w:rFonts w:hint="eastAsia"/>
              </w:rPr>
              <w:t>対</w:t>
            </w:r>
            <w:r w:rsidR="00C30661">
              <w:rPr>
                <w:rFonts w:hint="eastAsia"/>
              </w:rPr>
              <w:t xml:space="preserve">　</w:t>
            </w:r>
            <w:r>
              <w:rPr>
                <w:rFonts w:hint="eastAsia"/>
              </w:rPr>
              <w:t>象</w:t>
            </w:r>
          </w:p>
        </w:tc>
      </w:tr>
      <w:tr w:rsidR="00F66573" w:rsidTr="001A60D1">
        <w:tc>
          <w:tcPr>
            <w:tcW w:w="1701" w:type="dxa"/>
            <w:vMerge w:val="restart"/>
          </w:tcPr>
          <w:p w:rsidR="00F66573" w:rsidRDefault="00F66573">
            <w:r>
              <w:rPr>
                <w:rFonts w:hint="eastAsia"/>
              </w:rPr>
              <w:t>訪問型サービス</w:t>
            </w:r>
          </w:p>
        </w:tc>
        <w:tc>
          <w:tcPr>
            <w:tcW w:w="1951" w:type="dxa"/>
          </w:tcPr>
          <w:p w:rsidR="00F66573" w:rsidRDefault="00F66573" w:rsidP="00F66573">
            <w:r>
              <w:rPr>
                <w:rFonts w:hint="eastAsia"/>
              </w:rPr>
              <w:t>介護予防訪問</w:t>
            </w:r>
          </w:p>
        </w:tc>
        <w:tc>
          <w:tcPr>
            <w:tcW w:w="3578" w:type="dxa"/>
          </w:tcPr>
          <w:p w:rsidR="00F66573" w:rsidRPr="00C52598" w:rsidRDefault="00F66573">
            <w:pPr>
              <w:rPr>
                <w:sz w:val="18"/>
                <w:szCs w:val="18"/>
              </w:rPr>
            </w:pPr>
            <w:r w:rsidRPr="00C52598">
              <w:rPr>
                <w:rFonts w:hint="eastAsia"/>
                <w:sz w:val="18"/>
                <w:szCs w:val="18"/>
              </w:rPr>
              <w:t>従来どおりの</w:t>
            </w:r>
            <w:r w:rsidR="001A60D1">
              <w:rPr>
                <w:rFonts w:hint="eastAsia"/>
                <w:sz w:val="18"/>
                <w:szCs w:val="18"/>
              </w:rPr>
              <w:t>ホームヘルプ</w:t>
            </w:r>
            <w:r w:rsidRPr="00C52598">
              <w:rPr>
                <w:rFonts w:hint="eastAsia"/>
                <w:sz w:val="18"/>
                <w:szCs w:val="18"/>
              </w:rPr>
              <w:t>サービス</w:t>
            </w:r>
            <w:r w:rsidR="001A60D1">
              <w:rPr>
                <w:rFonts w:hint="eastAsia"/>
                <w:sz w:val="18"/>
                <w:szCs w:val="18"/>
              </w:rPr>
              <w:t>です</w:t>
            </w:r>
          </w:p>
        </w:tc>
        <w:tc>
          <w:tcPr>
            <w:tcW w:w="1275" w:type="dxa"/>
          </w:tcPr>
          <w:p w:rsidR="00F66573" w:rsidRPr="00F66573" w:rsidRDefault="00F66573" w:rsidP="00F66573">
            <w:pPr>
              <w:rPr>
                <w:sz w:val="18"/>
                <w:szCs w:val="18"/>
              </w:rPr>
            </w:pPr>
            <w:r w:rsidRPr="00F66573">
              <w:rPr>
                <w:rFonts w:hint="eastAsia"/>
                <w:sz w:val="18"/>
                <w:szCs w:val="18"/>
              </w:rPr>
              <w:t>要支援</w:t>
            </w:r>
            <w:r w:rsidRPr="00F66573">
              <w:rPr>
                <w:rFonts w:hint="eastAsia"/>
                <w:sz w:val="18"/>
                <w:szCs w:val="18"/>
              </w:rPr>
              <w:t>1</w:t>
            </w:r>
            <w:r>
              <w:rPr>
                <w:rFonts w:hint="eastAsia"/>
                <w:sz w:val="18"/>
                <w:szCs w:val="18"/>
              </w:rPr>
              <w:t>・</w:t>
            </w:r>
            <w:r w:rsidRPr="00F66573">
              <w:rPr>
                <w:rFonts w:hint="eastAsia"/>
                <w:sz w:val="18"/>
                <w:szCs w:val="18"/>
              </w:rPr>
              <w:t>2</w:t>
            </w:r>
          </w:p>
        </w:tc>
      </w:tr>
      <w:tr w:rsidR="00F66573" w:rsidTr="001A60D1">
        <w:tc>
          <w:tcPr>
            <w:tcW w:w="1701" w:type="dxa"/>
            <w:vMerge/>
          </w:tcPr>
          <w:p w:rsidR="00F66573" w:rsidRDefault="00F66573"/>
        </w:tc>
        <w:tc>
          <w:tcPr>
            <w:tcW w:w="1951" w:type="dxa"/>
          </w:tcPr>
          <w:p w:rsidR="00F66573" w:rsidRDefault="00F66573">
            <w:r>
              <w:rPr>
                <w:rFonts w:hint="eastAsia"/>
              </w:rPr>
              <w:t>短期集中の訪問</w:t>
            </w:r>
          </w:p>
        </w:tc>
        <w:tc>
          <w:tcPr>
            <w:tcW w:w="3578" w:type="dxa"/>
          </w:tcPr>
          <w:p w:rsidR="00F66573" w:rsidRPr="00C52598" w:rsidRDefault="00C52598">
            <w:pPr>
              <w:rPr>
                <w:sz w:val="18"/>
                <w:szCs w:val="18"/>
              </w:rPr>
            </w:pPr>
            <w:r>
              <w:rPr>
                <w:rFonts w:hint="eastAsia"/>
                <w:sz w:val="18"/>
                <w:szCs w:val="18"/>
              </w:rPr>
              <w:t>短期で専門職種により訪問します</w:t>
            </w:r>
          </w:p>
        </w:tc>
        <w:tc>
          <w:tcPr>
            <w:tcW w:w="1275" w:type="dxa"/>
          </w:tcPr>
          <w:p w:rsidR="00F66573" w:rsidRPr="00F66573" w:rsidRDefault="00F66573">
            <w:pPr>
              <w:rPr>
                <w:sz w:val="18"/>
                <w:szCs w:val="18"/>
              </w:rPr>
            </w:pPr>
            <w:r w:rsidRPr="00F66573">
              <w:rPr>
                <w:rFonts w:hint="eastAsia"/>
                <w:sz w:val="18"/>
                <w:szCs w:val="18"/>
              </w:rPr>
              <w:t>事業対象者</w:t>
            </w:r>
          </w:p>
        </w:tc>
      </w:tr>
      <w:tr w:rsidR="00F66573" w:rsidTr="001A60D1">
        <w:tc>
          <w:tcPr>
            <w:tcW w:w="1701" w:type="dxa"/>
            <w:vMerge w:val="restart"/>
          </w:tcPr>
          <w:p w:rsidR="00F66573" w:rsidRDefault="00F66573" w:rsidP="00C52598">
            <w:pPr>
              <w:jc w:val="center"/>
            </w:pPr>
            <w:r>
              <w:rPr>
                <w:rFonts w:hint="eastAsia"/>
              </w:rPr>
              <w:t>通所型サービス</w:t>
            </w:r>
          </w:p>
        </w:tc>
        <w:tc>
          <w:tcPr>
            <w:tcW w:w="1951" w:type="dxa"/>
          </w:tcPr>
          <w:p w:rsidR="00F66573" w:rsidRDefault="001A60D1" w:rsidP="001A60D1">
            <w:r>
              <w:rPr>
                <w:rFonts w:hint="eastAsia"/>
              </w:rPr>
              <w:t>介護予防通所</w:t>
            </w:r>
          </w:p>
        </w:tc>
        <w:tc>
          <w:tcPr>
            <w:tcW w:w="3578" w:type="dxa"/>
          </w:tcPr>
          <w:p w:rsidR="00F66573" w:rsidRPr="00C52598" w:rsidRDefault="00C52598" w:rsidP="001A60D1">
            <w:pPr>
              <w:rPr>
                <w:sz w:val="18"/>
                <w:szCs w:val="18"/>
              </w:rPr>
            </w:pPr>
            <w:r w:rsidRPr="00C52598">
              <w:rPr>
                <w:rFonts w:hint="eastAsia"/>
                <w:sz w:val="18"/>
                <w:szCs w:val="18"/>
              </w:rPr>
              <w:t>従来どおりの</w:t>
            </w:r>
            <w:r w:rsidR="001A60D1">
              <w:rPr>
                <w:rFonts w:hint="eastAsia"/>
                <w:sz w:val="18"/>
                <w:szCs w:val="18"/>
              </w:rPr>
              <w:t>デイ</w:t>
            </w:r>
            <w:r w:rsidRPr="00C52598">
              <w:rPr>
                <w:rFonts w:hint="eastAsia"/>
                <w:sz w:val="18"/>
                <w:szCs w:val="18"/>
              </w:rPr>
              <w:t>サービス</w:t>
            </w:r>
            <w:r w:rsidR="001A60D1">
              <w:rPr>
                <w:rFonts w:hint="eastAsia"/>
                <w:sz w:val="18"/>
                <w:szCs w:val="18"/>
              </w:rPr>
              <w:t>です</w:t>
            </w:r>
          </w:p>
        </w:tc>
        <w:tc>
          <w:tcPr>
            <w:tcW w:w="1275" w:type="dxa"/>
          </w:tcPr>
          <w:p w:rsidR="00F66573" w:rsidRDefault="00F66573" w:rsidP="00C52598">
            <w:pPr>
              <w:jc w:val="center"/>
            </w:pPr>
            <w:r w:rsidRPr="00F66573">
              <w:rPr>
                <w:rFonts w:hint="eastAsia"/>
                <w:sz w:val="18"/>
                <w:szCs w:val="18"/>
              </w:rPr>
              <w:t>要支援</w:t>
            </w:r>
            <w:r w:rsidRPr="00F66573">
              <w:rPr>
                <w:rFonts w:hint="eastAsia"/>
                <w:sz w:val="18"/>
                <w:szCs w:val="18"/>
              </w:rPr>
              <w:t>1</w:t>
            </w:r>
            <w:r>
              <w:rPr>
                <w:rFonts w:hint="eastAsia"/>
                <w:sz w:val="18"/>
                <w:szCs w:val="18"/>
              </w:rPr>
              <w:t>・</w:t>
            </w:r>
            <w:r w:rsidRPr="00F66573">
              <w:rPr>
                <w:rFonts w:hint="eastAsia"/>
                <w:sz w:val="18"/>
                <w:szCs w:val="18"/>
              </w:rPr>
              <w:t>2</w:t>
            </w:r>
          </w:p>
        </w:tc>
      </w:tr>
      <w:tr w:rsidR="00F66573" w:rsidTr="001A60D1">
        <w:tc>
          <w:tcPr>
            <w:tcW w:w="1701" w:type="dxa"/>
            <w:vMerge/>
          </w:tcPr>
          <w:p w:rsidR="00F66573" w:rsidRDefault="00F66573"/>
        </w:tc>
        <w:tc>
          <w:tcPr>
            <w:tcW w:w="1951" w:type="dxa"/>
          </w:tcPr>
          <w:p w:rsidR="00F66573" w:rsidRDefault="00F66573">
            <w:r>
              <w:rPr>
                <w:rFonts w:hint="eastAsia"/>
              </w:rPr>
              <w:t>短期集中の</w:t>
            </w:r>
            <w:r w:rsidR="001A60D1">
              <w:rPr>
                <w:rFonts w:hint="eastAsia"/>
              </w:rPr>
              <w:t>通所</w:t>
            </w:r>
          </w:p>
        </w:tc>
        <w:tc>
          <w:tcPr>
            <w:tcW w:w="3578" w:type="dxa"/>
          </w:tcPr>
          <w:p w:rsidR="00F66573" w:rsidRPr="00C52598" w:rsidRDefault="00882D58">
            <w:pPr>
              <w:rPr>
                <w:sz w:val="18"/>
                <w:szCs w:val="18"/>
              </w:rPr>
            </w:pPr>
            <w:r>
              <w:rPr>
                <w:rFonts w:hint="eastAsia"/>
                <w:sz w:val="18"/>
                <w:szCs w:val="18"/>
              </w:rPr>
              <w:t>短期間</w:t>
            </w:r>
            <w:r w:rsidR="00C52598">
              <w:rPr>
                <w:rFonts w:hint="eastAsia"/>
                <w:sz w:val="18"/>
                <w:szCs w:val="18"/>
              </w:rPr>
              <w:t>で</w:t>
            </w:r>
            <w:r w:rsidR="00AD5E04">
              <w:rPr>
                <w:rFonts w:hint="eastAsia"/>
                <w:sz w:val="18"/>
                <w:szCs w:val="18"/>
              </w:rPr>
              <w:t>運動器機能・</w:t>
            </w:r>
            <w:r w:rsidR="001A60D1">
              <w:rPr>
                <w:rFonts w:hint="eastAsia"/>
                <w:sz w:val="18"/>
                <w:szCs w:val="18"/>
              </w:rPr>
              <w:t>口腔</w:t>
            </w:r>
            <w:r w:rsidR="00AD5E04">
              <w:rPr>
                <w:rFonts w:hint="eastAsia"/>
                <w:sz w:val="18"/>
                <w:szCs w:val="18"/>
              </w:rPr>
              <w:t>機能の向上</w:t>
            </w:r>
            <w:r w:rsidR="001A60D1">
              <w:rPr>
                <w:rFonts w:hint="eastAsia"/>
                <w:sz w:val="18"/>
                <w:szCs w:val="18"/>
              </w:rPr>
              <w:t>、</w:t>
            </w:r>
            <w:r w:rsidR="00AD5E04">
              <w:rPr>
                <w:rFonts w:hint="eastAsia"/>
                <w:sz w:val="18"/>
                <w:szCs w:val="18"/>
              </w:rPr>
              <w:t xml:space="preserve">　</w:t>
            </w:r>
            <w:r w:rsidR="001A60D1">
              <w:rPr>
                <w:rFonts w:hint="eastAsia"/>
                <w:sz w:val="18"/>
                <w:szCs w:val="18"/>
              </w:rPr>
              <w:t>栄養改善、認知症予防を</w:t>
            </w:r>
            <w:r w:rsidR="00C52598">
              <w:rPr>
                <w:rFonts w:hint="eastAsia"/>
                <w:sz w:val="18"/>
                <w:szCs w:val="18"/>
              </w:rPr>
              <w:t>行います</w:t>
            </w:r>
          </w:p>
        </w:tc>
        <w:tc>
          <w:tcPr>
            <w:tcW w:w="1275" w:type="dxa"/>
          </w:tcPr>
          <w:p w:rsidR="00F66573" w:rsidRDefault="00351F42">
            <w:r w:rsidRPr="00F66573">
              <w:rPr>
                <w:rFonts w:hint="eastAsia"/>
                <w:sz w:val="18"/>
                <w:szCs w:val="18"/>
              </w:rPr>
              <w:t>事業対象者</w:t>
            </w:r>
          </w:p>
        </w:tc>
      </w:tr>
      <w:tr w:rsidR="00F66573" w:rsidTr="001A60D1">
        <w:tc>
          <w:tcPr>
            <w:tcW w:w="1701" w:type="dxa"/>
            <w:vMerge/>
          </w:tcPr>
          <w:p w:rsidR="00F66573" w:rsidRDefault="00F66573"/>
        </w:tc>
        <w:tc>
          <w:tcPr>
            <w:tcW w:w="1951" w:type="dxa"/>
          </w:tcPr>
          <w:p w:rsidR="00F66573" w:rsidRDefault="001A60D1">
            <w:r>
              <w:rPr>
                <w:rFonts w:hint="eastAsia"/>
              </w:rPr>
              <w:t>住民主体型通所</w:t>
            </w:r>
          </w:p>
        </w:tc>
        <w:tc>
          <w:tcPr>
            <w:tcW w:w="3578" w:type="dxa"/>
          </w:tcPr>
          <w:p w:rsidR="00F66573" w:rsidRPr="00C52598" w:rsidRDefault="00C52598">
            <w:pPr>
              <w:rPr>
                <w:sz w:val="18"/>
                <w:szCs w:val="18"/>
              </w:rPr>
            </w:pPr>
            <w:r w:rsidRPr="00C52598">
              <w:rPr>
                <w:rFonts w:hint="eastAsia"/>
                <w:sz w:val="18"/>
                <w:szCs w:val="18"/>
              </w:rPr>
              <w:t>ボランティアによる</w:t>
            </w:r>
            <w:r w:rsidR="001A60D1">
              <w:rPr>
                <w:rFonts w:hint="eastAsia"/>
                <w:sz w:val="18"/>
                <w:szCs w:val="18"/>
              </w:rPr>
              <w:t>通いの</w:t>
            </w:r>
            <w:r>
              <w:rPr>
                <w:rFonts w:hint="eastAsia"/>
                <w:sz w:val="18"/>
                <w:szCs w:val="18"/>
              </w:rPr>
              <w:t>サービス</w:t>
            </w:r>
            <w:r w:rsidR="001A60D1">
              <w:rPr>
                <w:rFonts w:hint="eastAsia"/>
                <w:sz w:val="18"/>
                <w:szCs w:val="18"/>
              </w:rPr>
              <w:t>です</w:t>
            </w:r>
          </w:p>
        </w:tc>
        <w:tc>
          <w:tcPr>
            <w:tcW w:w="1275" w:type="dxa"/>
          </w:tcPr>
          <w:p w:rsidR="00351F42" w:rsidRPr="00351F42" w:rsidRDefault="00351F42">
            <w:pPr>
              <w:rPr>
                <w:sz w:val="18"/>
                <w:szCs w:val="18"/>
              </w:rPr>
            </w:pPr>
            <w:r>
              <w:rPr>
                <w:rFonts w:hint="eastAsia"/>
                <w:sz w:val="18"/>
                <w:szCs w:val="18"/>
              </w:rPr>
              <w:t>事業対象者</w:t>
            </w:r>
          </w:p>
        </w:tc>
      </w:tr>
    </w:tbl>
    <w:p w:rsidR="00E53C78" w:rsidRPr="00E53C78" w:rsidRDefault="00E53C78"/>
    <w:p w:rsidR="000435F9" w:rsidRDefault="000435F9"/>
    <w:p w:rsidR="009B637E" w:rsidRDefault="009B637E"/>
    <w:sectPr w:rsidR="009B637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ゴシック体W5">
    <w:panose1 w:val="0201060900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5F9"/>
    <w:rsid w:val="000435F9"/>
    <w:rsid w:val="001A60D1"/>
    <w:rsid w:val="00280AA4"/>
    <w:rsid w:val="00351F42"/>
    <w:rsid w:val="00496FE9"/>
    <w:rsid w:val="00882D58"/>
    <w:rsid w:val="009B637E"/>
    <w:rsid w:val="00AD5E04"/>
    <w:rsid w:val="00BE064A"/>
    <w:rsid w:val="00C30661"/>
    <w:rsid w:val="00C52598"/>
    <w:rsid w:val="00E53C78"/>
    <w:rsid w:val="00F66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5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4D02-9AF6-4D7B-8B45-F0AD0D52D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8</cp:revision>
  <cp:lastPrinted>2019-01-29T06:55:00Z</cp:lastPrinted>
  <dcterms:created xsi:type="dcterms:W3CDTF">2019-01-29T01:37:00Z</dcterms:created>
  <dcterms:modified xsi:type="dcterms:W3CDTF">2019-01-30T10:06:00Z</dcterms:modified>
</cp:coreProperties>
</file>